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FF92" w14:textId="77777777" w:rsidR="00422FA9" w:rsidRPr="00422FA9" w:rsidRDefault="00422FA9" w:rsidP="00422FA9">
      <w:pPr>
        <w:spacing w:after="0"/>
        <w:rPr>
          <w:rFonts w:ascii="D-DIN-PRO" w:eastAsia="等线" w:hAnsi="D-DIN-PRO" w:cs="Times New Roman"/>
        </w:rPr>
      </w:pPr>
    </w:p>
    <w:p w14:paraId="2F225257" w14:textId="77777777" w:rsidR="00422FA9" w:rsidRPr="00422FA9" w:rsidRDefault="00422FA9" w:rsidP="00422FA9">
      <w:pPr>
        <w:spacing w:after="120"/>
        <w:rPr>
          <w:rFonts w:ascii="D-DIN-PRO" w:eastAsia="等线" w:hAnsi="D-DIN-PRO" w:cs="Times New Roman"/>
          <w:b/>
          <w:bCs/>
          <w:color w:val="356AA6"/>
          <w:sz w:val="36"/>
          <w:szCs w:val="36"/>
        </w:rPr>
      </w:pPr>
      <w:r w:rsidRPr="00422FA9">
        <w:rPr>
          <w:rFonts w:ascii="D-DIN-PRO" w:eastAsia="等线" w:hAnsi="D-DIN-PRO" w:cs="Times New Roman" w:hint="eastAsia"/>
          <w:b/>
          <w:bCs/>
          <w:color w:val="356AA6"/>
          <w:sz w:val="36"/>
          <w:szCs w:val="36"/>
        </w:rPr>
        <w:t>WPS Pro</w:t>
      </w:r>
    </w:p>
    <w:p w14:paraId="52BDA653"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WPS Pro is designed to preserve true full-length nanopore reads, where each read corresponds to a single plasmid molecule. In most library preparation workflows across providers, random linearization or fragmentation makes producing true full-length reads difficult, which limits analysis to consensus assemblies.</w:t>
      </w:r>
    </w:p>
    <w:p w14:paraId="50A2AC5F"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 xml:space="preserve">WPS Pro overcomes these limitations by </w:t>
      </w:r>
      <w:proofErr w:type="gramStart"/>
      <w:r w:rsidRPr="00422FA9">
        <w:rPr>
          <w:rFonts w:ascii="D-DIN-PRO" w:eastAsia="等线" w:hAnsi="D-DIN-PRO" w:cs="Times New Roman" w:hint="eastAsia"/>
        </w:rPr>
        <w:t>optimizing for</w:t>
      </w:r>
      <w:proofErr w:type="gramEnd"/>
      <w:r w:rsidRPr="00422FA9">
        <w:rPr>
          <w:rFonts w:ascii="D-DIN-PRO" w:eastAsia="等线" w:hAnsi="D-DIN-PRO" w:cs="Times New Roman" w:hint="eastAsia"/>
        </w:rPr>
        <w:t xml:space="preserve"> full-length molecules and minimizing random fragmentation during the library preparation process. Raw reads generated using this approach share identical start and end points in your vector backbone, allowing each read to be treated as a complete molecular sequence. This enables robust analysis of complex plasmid libraries and pooled plasmid samples.</w:t>
      </w:r>
    </w:p>
    <w:p w14:paraId="0BBB99C6"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This service excels at resolving plasmid mixtures and returning multiple distinct sequences per sample, providing insight into sample heterogeneity that cannot be captured by assembly-based approaches. Sequencing is performed using Oxford Nanopore R10.4.1 flow cells.</w:t>
      </w:r>
    </w:p>
    <w:p w14:paraId="3706EB91" w14:textId="77777777" w:rsidR="00422FA9" w:rsidRPr="00422FA9" w:rsidRDefault="00422FA9" w:rsidP="00422FA9">
      <w:pPr>
        <w:spacing w:before="240" w:after="120"/>
        <w:rPr>
          <w:rFonts w:ascii="D-DIN-PRO" w:eastAsia="等线" w:hAnsi="D-DIN-PRO" w:cs="Times New Roman"/>
          <w:b/>
          <w:bCs/>
          <w:color w:val="356AA6"/>
          <w:sz w:val="36"/>
          <w:szCs w:val="36"/>
        </w:rPr>
      </w:pPr>
      <w:r w:rsidRPr="00422FA9">
        <w:rPr>
          <w:rFonts w:ascii="D-DIN-PRO" w:eastAsia="等线" w:hAnsi="D-DIN-PRO" w:cs="Times New Roman" w:hint="eastAsia"/>
          <w:b/>
          <w:bCs/>
          <w:color w:val="356AA6"/>
          <w:sz w:val="36"/>
          <w:szCs w:val="36"/>
        </w:rPr>
        <w:t>Library Preparation</w:t>
      </w:r>
    </w:p>
    <w:p w14:paraId="1F87DAB7"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Our library preparation workflow begins with sequence-dependent digestion of plasmid DNA to generate intact, full-length linear molecules. Barcodes are then attached to the DNA ends using a ligation-based library preparation method. Barcoded samples are multiplexed and sequenced on an Oxford Nanopore R10.4.1 flow cell.</w:t>
      </w:r>
    </w:p>
    <w:p w14:paraId="39DE6B6F" w14:textId="77777777" w:rsidR="00422FA9" w:rsidRPr="00422FA9" w:rsidRDefault="00422FA9" w:rsidP="00422FA9">
      <w:pPr>
        <w:spacing w:before="80" w:after="120"/>
        <w:rPr>
          <w:rFonts w:ascii="D-DIN-PRO" w:eastAsia="等线" w:hAnsi="D-DIN-PRO" w:cs="Times New Roman"/>
          <w:b/>
          <w:bCs/>
          <w:color w:val="356AA6"/>
          <w:sz w:val="36"/>
          <w:szCs w:val="36"/>
        </w:rPr>
      </w:pPr>
      <w:r w:rsidRPr="00422FA9">
        <w:rPr>
          <w:rFonts w:ascii="D-DIN-PRO" w:eastAsia="等线" w:hAnsi="D-DIN-PRO" w:cs="Times New Roman" w:hint="eastAsia"/>
          <w:b/>
          <w:bCs/>
          <w:color w:val="356AA6"/>
          <w:sz w:val="36"/>
          <w:szCs w:val="36"/>
        </w:rPr>
        <w:t>Bioinformatics Analysis</w:t>
      </w:r>
    </w:p>
    <w:p w14:paraId="24CC49B5"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 xml:space="preserve">After sequencing is complete, raw reads are </w:t>
      </w:r>
      <w:proofErr w:type="spellStart"/>
      <w:r w:rsidRPr="00422FA9">
        <w:rPr>
          <w:rFonts w:ascii="D-DIN-PRO" w:eastAsia="等线" w:hAnsi="D-DIN-PRO" w:cs="Times New Roman" w:hint="eastAsia"/>
        </w:rPr>
        <w:t>basecalled</w:t>
      </w:r>
      <w:proofErr w:type="spellEnd"/>
      <w:r w:rsidRPr="00422FA9">
        <w:rPr>
          <w:rFonts w:ascii="D-DIN-PRO" w:eastAsia="等线" w:hAnsi="D-DIN-PRO" w:cs="Times New Roman" w:hint="eastAsia"/>
        </w:rPr>
        <w:t xml:space="preserve"> using the latest Dorado Super Accuracy model. These high-accuracy reads are processed through our analysis pipeline, where they are grouped into multiple high-confidence consensus sequences, each representing a distinct plasmid population within the sample.</w:t>
      </w:r>
    </w:p>
    <w:p w14:paraId="4C346A10" w14:textId="77777777" w:rsidR="00422FA9" w:rsidRPr="00422FA9" w:rsidRDefault="00422FA9" w:rsidP="00422FA9">
      <w:pPr>
        <w:spacing w:before="80" w:after="120"/>
        <w:rPr>
          <w:rFonts w:ascii="D-DIN-PRO" w:eastAsia="等线" w:hAnsi="D-DIN-PRO" w:cs="Times New Roman"/>
        </w:rPr>
      </w:pPr>
      <w:r w:rsidRPr="00422FA9">
        <w:rPr>
          <w:rFonts w:ascii="D-DIN-PRO" w:eastAsia="等线" w:hAnsi="D-DIN-PRO" w:cs="Times New Roman" w:hint="eastAsia"/>
        </w:rPr>
        <w:t xml:space="preserve">Once processing is complete, all results are uploaded to our secure customer portal, and you will receive an email notification when your data is ready. Details of all deliverables are outlined below.    </w:t>
      </w:r>
    </w:p>
    <w:p w14:paraId="11D5C254" w14:textId="77777777" w:rsidR="00422FA9" w:rsidRPr="00422FA9" w:rsidRDefault="00422FA9" w:rsidP="00422FA9">
      <w:pPr>
        <w:spacing w:before="240" w:after="120"/>
        <w:rPr>
          <w:rFonts w:ascii="D-DIN-PRO" w:eastAsia="等线" w:hAnsi="D-DIN-PRO" w:cs="Times New Roman"/>
          <w:b/>
          <w:bCs/>
          <w:color w:val="356AA6"/>
          <w:sz w:val="36"/>
          <w:szCs w:val="36"/>
        </w:rPr>
      </w:pPr>
      <w:r w:rsidRPr="00422FA9">
        <w:rPr>
          <w:rFonts w:ascii="D-DIN-PRO" w:eastAsia="等线" w:hAnsi="D-DIN-PRO" w:cs="Times New Roman" w:hint="eastAsia"/>
          <w:b/>
          <w:bCs/>
          <w:color w:val="356AA6"/>
          <w:sz w:val="36"/>
          <w:szCs w:val="36"/>
        </w:rPr>
        <w:t>Deliverables</w:t>
      </w:r>
    </w:p>
    <w:p w14:paraId="508CD42D" w14:textId="77777777" w:rsidR="00422FA9" w:rsidRPr="00422FA9" w:rsidRDefault="00422FA9" w:rsidP="00422FA9">
      <w:pPr>
        <w:spacing w:before="240" w:after="120"/>
        <w:rPr>
          <w:rFonts w:ascii="D-DIN-PRO" w:eastAsia="等线" w:hAnsi="D-DIN-PRO" w:cs="Times New Roman"/>
          <w:b/>
          <w:bCs/>
          <w:sz w:val="24"/>
          <w:szCs w:val="32"/>
        </w:rPr>
      </w:pPr>
      <w:r w:rsidRPr="00422FA9">
        <w:rPr>
          <w:rFonts w:ascii="D-DIN-PRO" w:eastAsia="等线" w:hAnsi="D-DIN-PRO" w:cs="Times New Roman" w:hint="eastAsia"/>
          <w:b/>
          <w:bCs/>
          <w:sz w:val="24"/>
          <w:szCs w:val="32"/>
        </w:rPr>
        <w:t>Sequence Files</w:t>
      </w:r>
    </w:p>
    <w:p w14:paraId="45B49D03"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FASTA file</w:t>
      </w:r>
    </w:p>
    <w:p w14:paraId="3CF84DB0" w14:textId="77777777" w:rsidR="00422FA9" w:rsidRPr="00422FA9" w:rsidRDefault="00422FA9" w:rsidP="00422FA9">
      <w:pPr>
        <w:spacing w:before="80" w:after="120"/>
        <w:ind w:firstLineChars="200" w:firstLine="420"/>
        <w:rPr>
          <w:rFonts w:ascii="D-DIN-PRO" w:eastAsia="等线" w:hAnsi="D-DIN-PRO" w:cs="Times New Roman"/>
        </w:rPr>
      </w:pPr>
      <w:r w:rsidRPr="00422FA9">
        <w:rPr>
          <w:rFonts w:ascii="D-DIN-PRO" w:eastAsia="等线" w:hAnsi="D-DIN-PRO" w:cs="Times New Roman" w:hint="eastAsia"/>
        </w:rPr>
        <w:t>A text-based file containing the final consensus DNA sequence.</w:t>
      </w:r>
    </w:p>
    <w:p w14:paraId="1CC92B5C"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GenBank file</w:t>
      </w:r>
    </w:p>
    <w:p w14:paraId="6C913AC4" w14:textId="77777777" w:rsidR="00422FA9" w:rsidRPr="00422FA9" w:rsidRDefault="00422FA9" w:rsidP="00422FA9">
      <w:pPr>
        <w:spacing w:before="80" w:after="120"/>
        <w:ind w:firstLineChars="200" w:firstLine="420"/>
        <w:rPr>
          <w:rFonts w:ascii="D-DIN-PRO" w:eastAsia="等线" w:hAnsi="D-DIN-PRO" w:cs="Times New Roman"/>
        </w:rPr>
      </w:pPr>
      <w:r w:rsidRPr="00422FA9">
        <w:rPr>
          <w:rFonts w:ascii="D-DIN-PRO" w:eastAsia="等线" w:hAnsi="D-DIN-PRO" w:cs="Times New Roman" w:hint="eastAsia"/>
        </w:rPr>
        <w:t>Includes the consensus sequence along with annotated genetic features.</w:t>
      </w:r>
    </w:p>
    <w:p w14:paraId="1A8862F2" w14:textId="77777777" w:rsidR="00422FA9" w:rsidRPr="00422FA9" w:rsidRDefault="00422FA9" w:rsidP="00422FA9">
      <w:pPr>
        <w:spacing w:before="80" w:after="120"/>
        <w:rPr>
          <w:rFonts w:ascii="D-DIN-PRO" w:eastAsia="等线" w:hAnsi="D-DIN-PRO" w:cs="Times New Roman"/>
        </w:rPr>
      </w:pPr>
    </w:p>
    <w:p w14:paraId="7D48AD8F" w14:textId="77777777" w:rsidR="00422FA9" w:rsidRPr="00422FA9" w:rsidRDefault="00422FA9" w:rsidP="00422FA9">
      <w:pPr>
        <w:spacing w:after="0"/>
        <w:rPr>
          <w:rFonts w:ascii="D-DIN-PRO" w:eastAsia="等线" w:hAnsi="D-DIN-PRO" w:cs="Times New Roman"/>
        </w:rPr>
      </w:pPr>
    </w:p>
    <w:p w14:paraId="68374A5F" w14:textId="77777777" w:rsidR="00422FA9" w:rsidRPr="00422FA9" w:rsidRDefault="00422FA9" w:rsidP="00422FA9">
      <w:pPr>
        <w:numPr>
          <w:ilvl w:val="0"/>
          <w:numId w:val="6"/>
        </w:numPr>
        <w:spacing w:after="120"/>
        <w:rPr>
          <w:rFonts w:ascii="D-DIN-PRO" w:eastAsia="等线" w:hAnsi="D-DIN-PRO" w:cs="Times New Roman"/>
          <w:sz w:val="24"/>
          <w:szCs w:val="32"/>
        </w:rPr>
      </w:pPr>
      <w:r w:rsidRPr="00422FA9">
        <w:rPr>
          <w:rFonts w:ascii="D-DIN-PRO" w:eastAsia="等线" w:hAnsi="D-DIN-PRO" w:cs="Times New Roman" w:hint="eastAsia"/>
          <w:sz w:val="24"/>
          <w:szCs w:val="32"/>
        </w:rPr>
        <w:t>AB1 file</w:t>
      </w:r>
    </w:p>
    <w:p w14:paraId="2C2D0F6E" w14:textId="77777777" w:rsidR="00422FA9" w:rsidRPr="00422FA9" w:rsidRDefault="00422FA9" w:rsidP="00422FA9">
      <w:pPr>
        <w:spacing w:before="80" w:after="120"/>
        <w:ind w:leftChars="200" w:left="420"/>
        <w:rPr>
          <w:rFonts w:ascii="D-DIN-PRO" w:eastAsia="等线" w:hAnsi="D-DIN-PRO" w:cs="Times New Roman"/>
        </w:rPr>
      </w:pPr>
      <w:r w:rsidRPr="00422FA9">
        <w:rPr>
          <w:rFonts w:ascii="D-DIN-PRO" w:eastAsia="等线" w:hAnsi="D-DIN-PRO" w:cs="Times New Roman" w:hint="eastAsia"/>
        </w:rPr>
        <w:t>A Sanger-style chromatogram view of the consensus sequence, allowing visualization of variants and low-confidence positions. Each peak color corresponds to a specific nucleotide.</w:t>
      </w:r>
    </w:p>
    <w:p w14:paraId="57B5BE89"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Multi-FASTA file</w:t>
      </w:r>
    </w:p>
    <w:p w14:paraId="725B63DC" w14:textId="77777777" w:rsidR="00422FA9" w:rsidRPr="00422FA9" w:rsidRDefault="00422FA9" w:rsidP="00422FA9">
      <w:pPr>
        <w:spacing w:before="80" w:after="120"/>
        <w:ind w:firstLineChars="200" w:firstLine="420"/>
        <w:rPr>
          <w:rFonts w:ascii="D-DIN-PRO" w:eastAsia="等线" w:hAnsi="D-DIN-PRO" w:cs="Times New Roman"/>
        </w:rPr>
      </w:pPr>
      <w:r w:rsidRPr="00422FA9">
        <w:rPr>
          <w:rFonts w:ascii="D-DIN-PRO" w:eastAsia="等线" w:hAnsi="D-DIN-PRO" w:cs="Times New Roman" w:hint="eastAsia"/>
        </w:rPr>
        <w:t>A combined FASTA file containing all consensus sequences generated from the same sample.</w:t>
      </w:r>
    </w:p>
    <w:p w14:paraId="3712E3D0" w14:textId="77777777" w:rsidR="00422FA9" w:rsidRPr="00422FA9" w:rsidRDefault="00422FA9" w:rsidP="00422FA9">
      <w:pPr>
        <w:spacing w:before="240" w:after="120"/>
        <w:rPr>
          <w:rFonts w:ascii="D-DIN-PRO" w:eastAsia="等线" w:hAnsi="D-DIN-PRO" w:cs="Times New Roman"/>
          <w:b/>
          <w:bCs/>
          <w:sz w:val="24"/>
          <w:szCs w:val="32"/>
        </w:rPr>
      </w:pPr>
      <w:r w:rsidRPr="00422FA9">
        <w:rPr>
          <w:rFonts w:ascii="D-DIN-PRO" w:eastAsia="等线" w:hAnsi="D-DIN-PRO" w:cs="Times New Roman" w:hint="eastAsia"/>
          <w:b/>
          <w:bCs/>
          <w:sz w:val="24"/>
          <w:szCs w:val="32"/>
        </w:rPr>
        <w:t>Read-Level Data</w:t>
      </w:r>
    </w:p>
    <w:p w14:paraId="6ABA63D3"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Per-</w:t>
      </w:r>
      <w:proofErr w:type="gramStart"/>
      <w:r w:rsidRPr="00422FA9">
        <w:rPr>
          <w:rFonts w:ascii="D-DIN-PRO" w:eastAsia="等线" w:hAnsi="D-DIN-PRO" w:cs="Times New Roman" w:hint="eastAsia"/>
          <w:sz w:val="24"/>
          <w:szCs w:val="32"/>
        </w:rPr>
        <w:t>base</w:t>
      </w:r>
      <w:proofErr w:type="gramEnd"/>
      <w:r w:rsidRPr="00422FA9">
        <w:rPr>
          <w:rFonts w:ascii="D-DIN-PRO" w:eastAsia="等线" w:hAnsi="D-DIN-PRO" w:cs="Times New Roman" w:hint="eastAsia"/>
          <w:sz w:val="24"/>
          <w:szCs w:val="32"/>
        </w:rPr>
        <w:t xml:space="preserve"> data file</w:t>
      </w:r>
    </w:p>
    <w:p w14:paraId="0B947783" w14:textId="77777777" w:rsidR="00422FA9" w:rsidRPr="00422FA9" w:rsidRDefault="00422FA9" w:rsidP="00422FA9">
      <w:pPr>
        <w:spacing w:before="80" w:after="120"/>
        <w:ind w:leftChars="200" w:left="420"/>
        <w:rPr>
          <w:rFonts w:ascii="D-DIN-PRO" w:eastAsia="等线" w:hAnsi="D-DIN-PRO" w:cs="Times New Roman"/>
        </w:rPr>
      </w:pPr>
      <w:r w:rsidRPr="00422FA9">
        <w:rPr>
          <w:rFonts w:ascii="D-DIN-PRO" w:eastAsia="等线" w:hAnsi="D-DIN-PRO" w:cs="Times New Roman" w:hint="eastAsia"/>
        </w:rPr>
        <w:t xml:space="preserve">Provides a detailed breakdown of how individual raw reads support each base in the consensus sequence. This file is used to generate the AB1 chromatogram.    </w:t>
      </w:r>
    </w:p>
    <w:p w14:paraId="59B9989B"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Alignment file</w:t>
      </w:r>
    </w:p>
    <w:p w14:paraId="40205F1B" w14:textId="77777777" w:rsidR="00422FA9" w:rsidRPr="00422FA9" w:rsidRDefault="00422FA9" w:rsidP="00422FA9">
      <w:pPr>
        <w:spacing w:before="80" w:after="120"/>
        <w:ind w:leftChars="200" w:left="420"/>
        <w:rPr>
          <w:rFonts w:ascii="D-DIN-PRO" w:eastAsia="等线" w:hAnsi="D-DIN-PRO" w:cs="Times New Roman"/>
        </w:rPr>
      </w:pPr>
      <w:r w:rsidRPr="00422FA9">
        <w:rPr>
          <w:rFonts w:ascii="D-DIN-PRO" w:eastAsia="等线" w:hAnsi="D-DIN-PRO" w:cs="Times New Roman" w:hint="eastAsia"/>
        </w:rPr>
        <w:t>Displays the alignment of raw reads to the consensus sequence, enabling evaluation of sequencing data at a molecular level.</w:t>
      </w:r>
    </w:p>
    <w:p w14:paraId="34ED5EC2"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FASTQ file</w:t>
      </w:r>
    </w:p>
    <w:p w14:paraId="11590B0D" w14:textId="77777777" w:rsidR="00422FA9" w:rsidRPr="00422FA9" w:rsidRDefault="00422FA9" w:rsidP="00422FA9">
      <w:pPr>
        <w:spacing w:before="80" w:after="120"/>
        <w:ind w:firstLineChars="200" w:firstLine="420"/>
        <w:rPr>
          <w:rFonts w:ascii="D-DIN-PRO" w:eastAsia="等线" w:hAnsi="D-DIN-PRO" w:cs="Times New Roman"/>
        </w:rPr>
      </w:pPr>
      <w:r w:rsidRPr="00422FA9">
        <w:rPr>
          <w:rFonts w:ascii="D-DIN-PRO" w:eastAsia="等线" w:hAnsi="D-DIN-PRO" w:cs="Times New Roman" w:hint="eastAsia"/>
        </w:rPr>
        <w:t>Contains all raw sequencing reads generated for your sample.</w:t>
      </w:r>
    </w:p>
    <w:p w14:paraId="2009ABA5" w14:textId="77777777" w:rsidR="00422FA9" w:rsidRPr="00422FA9" w:rsidRDefault="00422FA9" w:rsidP="00422FA9">
      <w:pPr>
        <w:spacing w:before="240" w:after="120"/>
        <w:rPr>
          <w:rFonts w:ascii="D-DIN-PRO" w:eastAsia="等线" w:hAnsi="D-DIN-PRO" w:cs="Times New Roman"/>
          <w:b/>
          <w:bCs/>
          <w:sz w:val="24"/>
          <w:szCs w:val="32"/>
        </w:rPr>
      </w:pPr>
      <w:r w:rsidRPr="00422FA9">
        <w:rPr>
          <w:rFonts w:ascii="D-DIN-PRO" w:eastAsia="等线" w:hAnsi="D-DIN-PRO" w:cs="Times New Roman" w:hint="eastAsia"/>
          <w:b/>
          <w:bCs/>
          <w:sz w:val="24"/>
          <w:szCs w:val="32"/>
        </w:rPr>
        <w:t>Report(s)</w:t>
      </w:r>
    </w:p>
    <w:p w14:paraId="2E0A9C14"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Variant summary file</w:t>
      </w:r>
    </w:p>
    <w:p w14:paraId="68127B83" w14:textId="77777777" w:rsidR="00422FA9" w:rsidRPr="00422FA9" w:rsidRDefault="00422FA9" w:rsidP="00422FA9">
      <w:pPr>
        <w:spacing w:before="80" w:after="120"/>
        <w:ind w:leftChars="200" w:left="420"/>
        <w:rPr>
          <w:rFonts w:ascii="D-DIN-PRO" w:eastAsia="等线" w:hAnsi="D-DIN-PRO" w:cs="Times New Roman"/>
        </w:rPr>
      </w:pPr>
      <w:r w:rsidRPr="00422FA9">
        <w:rPr>
          <w:rFonts w:ascii="D-DIN-PRO" w:eastAsia="等线" w:hAnsi="D-DIN-PRO" w:cs="Times New Roman" w:hint="eastAsia"/>
        </w:rPr>
        <w:t xml:space="preserve">A table </w:t>
      </w:r>
      <w:proofErr w:type="gramStart"/>
      <w:r w:rsidRPr="00422FA9">
        <w:rPr>
          <w:rFonts w:ascii="D-DIN-PRO" w:eastAsia="等线" w:hAnsi="D-DIN-PRO" w:cs="Times New Roman" w:hint="eastAsia"/>
        </w:rPr>
        <w:t>summarizing</w:t>
      </w:r>
      <w:proofErr w:type="gramEnd"/>
      <w:r w:rsidRPr="00422FA9">
        <w:rPr>
          <w:rFonts w:ascii="D-DIN-PRO" w:eastAsia="等线" w:hAnsi="D-DIN-PRO" w:cs="Times New Roman" w:hint="eastAsia"/>
        </w:rPr>
        <w:t xml:space="preserve"> all detected variants, including the number of reads assigned to each variant and the corresponding sequence length.</w:t>
      </w:r>
    </w:p>
    <w:p w14:paraId="28193F09" w14:textId="77777777" w:rsidR="00422FA9" w:rsidRPr="00422FA9" w:rsidRDefault="00422FA9" w:rsidP="00422FA9">
      <w:pPr>
        <w:numPr>
          <w:ilvl w:val="0"/>
          <w:numId w:val="6"/>
        </w:numPr>
        <w:spacing w:before="80" w:after="120"/>
        <w:rPr>
          <w:rFonts w:ascii="D-DIN-PRO" w:eastAsia="等线" w:hAnsi="D-DIN-PRO" w:cs="Times New Roman"/>
          <w:sz w:val="24"/>
          <w:szCs w:val="32"/>
        </w:rPr>
      </w:pPr>
      <w:r w:rsidRPr="00422FA9">
        <w:rPr>
          <w:rFonts w:ascii="D-DIN-PRO" w:eastAsia="等线" w:hAnsi="D-DIN-PRO" w:cs="Times New Roman" w:hint="eastAsia"/>
          <w:sz w:val="24"/>
          <w:szCs w:val="32"/>
        </w:rPr>
        <w:t>QC report file</w:t>
      </w:r>
    </w:p>
    <w:p w14:paraId="6B940C11" w14:textId="77777777" w:rsidR="00422FA9" w:rsidRPr="00422FA9" w:rsidRDefault="00422FA9" w:rsidP="00422FA9">
      <w:pPr>
        <w:spacing w:before="80" w:after="120"/>
        <w:ind w:firstLineChars="200" w:firstLine="420"/>
        <w:rPr>
          <w:rFonts w:ascii="D-DIN-PRO" w:eastAsia="等线" w:hAnsi="D-DIN-PRO" w:cs="Times New Roman"/>
        </w:rPr>
      </w:pPr>
      <w:r w:rsidRPr="00422FA9">
        <w:rPr>
          <w:rFonts w:ascii="D-DIN-PRO" w:eastAsia="等线" w:hAnsi="D-DIN-PRO" w:cs="Times New Roman" w:hint="eastAsia"/>
        </w:rPr>
        <w:t>A comprehensive quality control report containing key metrics and visualizations, including:</w:t>
      </w:r>
    </w:p>
    <w:p w14:paraId="299FD32D" w14:textId="77777777" w:rsidR="00422FA9" w:rsidRPr="00422FA9" w:rsidRDefault="00422FA9" w:rsidP="00422FA9">
      <w:pPr>
        <w:numPr>
          <w:ilvl w:val="0"/>
          <w:numId w:val="7"/>
        </w:numPr>
        <w:spacing w:before="80" w:after="120"/>
        <w:rPr>
          <w:rFonts w:ascii="D-DIN-PRO" w:eastAsia="等线" w:hAnsi="D-DIN-PRO" w:cs="Times New Roman"/>
        </w:rPr>
      </w:pPr>
      <w:r w:rsidRPr="00422FA9">
        <w:rPr>
          <w:rFonts w:ascii="D-DIN-PRO" w:eastAsia="等线" w:hAnsi="D-DIN-PRO" w:cs="Times New Roman" w:hint="eastAsia"/>
        </w:rPr>
        <w:t>Read-length histogram</w:t>
      </w:r>
    </w:p>
    <w:p w14:paraId="73752782" w14:textId="77777777" w:rsidR="00422FA9" w:rsidRPr="00422FA9" w:rsidRDefault="00422FA9" w:rsidP="00422FA9">
      <w:pPr>
        <w:spacing w:before="80" w:after="120"/>
        <w:ind w:leftChars="400" w:left="840"/>
        <w:rPr>
          <w:rFonts w:ascii="D-DIN-PRO" w:eastAsia="等线" w:hAnsi="D-DIN-PRO" w:cs="Times New Roman"/>
        </w:rPr>
      </w:pPr>
      <w:r w:rsidRPr="00422FA9">
        <w:rPr>
          <w:rFonts w:ascii="D-DIN-PRO" w:eastAsia="等线" w:hAnsi="D-DIN-PRO" w:cs="Times New Roman" w:hint="eastAsia"/>
        </w:rPr>
        <w:t>Displays the distribution of raw read lengths. A single dominant peak typically indicates a pure sample, while multiple peaks may suggest concatemers or additional DNA species.</w:t>
      </w:r>
    </w:p>
    <w:p w14:paraId="70798EF9" w14:textId="77777777" w:rsidR="00422FA9" w:rsidRPr="00422FA9" w:rsidRDefault="00422FA9" w:rsidP="00422FA9">
      <w:pPr>
        <w:numPr>
          <w:ilvl w:val="0"/>
          <w:numId w:val="7"/>
        </w:numPr>
        <w:spacing w:before="80" w:after="120"/>
        <w:rPr>
          <w:rFonts w:ascii="D-DIN-PRO" w:eastAsia="等线" w:hAnsi="D-DIN-PRO" w:cs="Times New Roman"/>
        </w:rPr>
      </w:pPr>
      <w:r w:rsidRPr="00422FA9">
        <w:rPr>
          <w:rFonts w:ascii="D-DIN-PRO" w:eastAsia="等线" w:hAnsi="D-DIN-PRO" w:cs="Times New Roman" w:hint="eastAsia"/>
        </w:rPr>
        <w:t>Virtual gel</w:t>
      </w:r>
    </w:p>
    <w:p w14:paraId="026EE444" w14:textId="77777777" w:rsidR="00422FA9" w:rsidRPr="00422FA9" w:rsidRDefault="00422FA9" w:rsidP="00422FA9">
      <w:pPr>
        <w:spacing w:before="80" w:after="120"/>
        <w:ind w:leftChars="400" w:left="840"/>
        <w:rPr>
          <w:rFonts w:ascii="D-DIN-PRO" w:eastAsia="等线" w:hAnsi="D-DIN-PRO" w:cs="Times New Roman"/>
        </w:rPr>
      </w:pPr>
      <w:r w:rsidRPr="00422FA9">
        <w:rPr>
          <w:rFonts w:ascii="D-DIN-PRO" w:eastAsia="等线" w:hAnsi="D-DIN-PRO" w:cs="Times New Roman" w:hint="eastAsia"/>
        </w:rPr>
        <w:t>A simulated gel image generated from raw read data, providing an intuitive view of sample composition.</w:t>
      </w:r>
    </w:p>
    <w:p w14:paraId="7337B747" w14:textId="77777777" w:rsidR="00422FA9" w:rsidRPr="00422FA9" w:rsidRDefault="00422FA9" w:rsidP="00422FA9">
      <w:pPr>
        <w:numPr>
          <w:ilvl w:val="0"/>
          <w:numId w:val="7"/>
        </w:numPr>
        <w:spacing w:before="80" w:after="120"/>
        <w:rPr>
          <w:rFonts w:ascii="D-DIN-PRO" w:eastAsia="等线" w:hAnsi="D-DIN-PRO" w:cs="Times New Roman"/>
        </w:rPr>
      </w:pPr>
      <w:r w:rsidRPr="00422FA9">
        <w:rPr>
          <w:rFonts w:ascii="D-DIN-PRO" w:eastAsia="等线" w:hAnsi="D-DIN-PRO" w:cs="Times New Roman" w:hint="eastAsia"/>
        </w:rPr>
        <w:t>Additional sample metrics</w:t>
      </w:r>
    </w:p>
    <w:p w14:paraId="3B7F0FF0" w14:textId="77777777" w:rsidR="00422FA9" w:rsidRPr="00422FA9" w:rsidRDefault="00422FA9" w:rsidP="00422FA9">
      <w:pPr>
        <w:spacing w:before="80" w:after="120"/>
        <w:ind w:leftChars="400" w:left="840"/>
        <w:rPr>
          <w:rFonts w:ascii="D-DIN-PRO" w:eastAsia="等线" w:hAnsi="D-DIN-PRO" w:cs="Times New Roman"/>
        </w:rPr>
      </w:pPr>
      <w:r w:rsidRPr="00422FA9">
        <w:rPr>
          <w:rFonts w:ascii="D-DIN-PRO" w:eastAsia="等线" w:hAnsi="D-DIN-PRO" w:cs="Times New Roman" w:hint="eastAsia"/>
        </w:rPr>
        <w:t>Including total reads, total bases, reads mapped to consensus, sample name, consensus length, and related statistics.</w:t>
      </w:r>
    </w:p>
    <w:p w14:paraId="5B4E6071" w14:textId="77777777" w:rsidR="00D918BC" w:rsidRPr="00422FA9" w:rsidRDefault="00D918BC" w:rsidP="005A5B86">
      <w:pPr>
        <w:rPr>
          <w:rFonts w:hint="eastAsia"/>
        </w:rPr>
      </w:pPr>
    </w:p>
    <w:sectPr w:rsidR="00D918BC" w:rsidRPr="00422FA9">
      <w:headerReference w:type="default" r:id="rId9"/>
      <w:footerReference w:type="even" r:id="rId10"/>
      <w:footerReference w:type="default" r:id="rId11"/>
      <w:pgSz w:w="11906" w:h="16838"/>
      <w:pgMar w:top="1440" w:right="1440" w:bottom="1440" w:left="1440" w:header="850" w:footer="10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6354" w14:textId="77777777" w:rsidR="00CF6E53" w:rsidRDefault="00CF6E53">
      <w:pPr>
        <w:spacing w:after="0"/>
        <w:rPr>
          <w:rFonts w:hint="eastAsia"/>
        </w:rPr>
      </w:pPr>
      <w:r>
        <w:separator/>
      </w:r>
    </w:p>
  </w:endnote>
  <w:endnote w:type="continuationSeparator" w:id="0">
    <w:p w14:paraId="082FA39D" w14:textId="77777777" w:rsidR="00CF6E53" w:rsidRDefault="00CF6E53">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D-DIN-PRO">
    <w:panose1 w:val="020B0504030202030204"/>
    <w:charset w:val="00"/>
    <w:family w:val="swiss"/>
    <w:notTrueType/>
    <w:pitch w:val="variable"/>
    <w:sig w:usb0="8000006F" w:usb1="4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28207594"/>
    </w:sdtPr>
    <w:sdtEndPr>
      <w:rPr>
        <w:rStyle w:val="ab"/>
      </w:rPr>
    </w:sdtEndPr>
    <w:sdtContent>
      <w:p w14:paraId="0C94FF26" w14:textId="77777777" w:rsidR="00D918BC" w:rsidRDefault="003B5236">
        <w:pPr>
          <w:pStyle w:val="a5"/>
          <w:framePr w:wrap="auto" w:vAnchor="text" w:hAnchor="margin" w:xAlign="right" w:y="1"/>
          <w:rPr>
            <w:rStyle w:val="ab"/>
            <w:rFonts w:hint="eastAsia"/>
          </w:rPr>
        </w:pPr>
        <w:r>
          <w:rPr>
            <w:rStyle w:val="ab"/>
          </w:rPr>
          <w:fldChar w:fldCharType="begin"/>
        </w:r>
        <w:r>
          <w:rPr>
            <w:rStyle w:val="ab"/>
          </w:rPr>
          <w:instrText xml:space="preserve"> PAGE </w:instrText>
        </w:r>
        <w:r>
          <w:rPr>
            <w:rStyle w:val="ab"/>
          </w:rPr>
          <w:fldChar w:fldCharType="end"/>
        </w:r>
      </w:p>
    </w:sdtContent>
  </w:sdt>
  <w:p w14:paraId="4B0D1A90" w14:textId="77777777" w:rsidR="00D918BC" w:rsidRDefault="00D918BC">
    <w:pPr>
      <w:pStyle w:val="a5"/>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2BB" w14:textId="77777777" w:rsidR="00D918BC" w:rsidRDefault="003B5236">
    <w:pPr>
      <w:pStyle w:val="a5"/>
      <w:ind w:right="360"/>
      <w:rPr>
        <w:rFonts w:hint="eastAsia"/>
      </w:rPr>
    </w:pPr>
    <w:r>
      <w:rPr>
        <w:noProof/>
        <w:sz w:val="15"/>
      </w:rPr>
      <mc:AlternateContent>
        <mc:Choice Requires="wpg">
          <w:drawing>
            <wp:anchor distT="0" distB="0" distL="114300" distR="114300" simplePos="0" relativeHeight="251659264" behindDoc="0" locked="0" layoutInCell="1" allowOverlap="1" wp14:anchorId="0534CDA4" wp14:editId="55C1B124">
              <wp:simplePos x="0" y="0"/>
              <wp:positionH relativeFrom="column">
                <wp:posOffset>-24130</wp:posOffset>
              </wp:positionH>
              <wp:positionV relativeFrom="paragraph">
                <wp:posOffset>106680</wp:posOffset>
              </wp:positionV>
              <wp:extent cx="5734685" cy="254000"/>
              <wp:effectExtent l="0" t="0" r="0" b="0"/>
              <wp:wrapNone/>
              <wp:docPr id="6" name="组合 6"/>
              <wp:cNvGraphicFramePr/>
              <a:graphic xmlns:a="http://schemas.openxmlformats.org/drawingml/2006/main">
                <a:graphicData uri="http://schemas.microsoft.com/office/word/2010/wordprocessingGroup">
                  <wpg:wgp>
                    <wpg:cNvGrpSpPr/>
                    <wpg:grpSpPr>
                      <a:xfrm>
                        <a:off x="0" y="0"/>
                        <a:ext cx="5734685" cy="254000"/>
                        <a:chOff x="4120" y="16066"/>
                        <a:chExt cx="9122" cy="400"/>
                      </a:xfrm>
                    </wpg:grpSpPr>
                    <wps:wsp>
                      <wps:cNvPr id="17" name="文本框 17"/>
                      <wps:cNvSpPr txBox="1"/>
                      <wps:spPr>
                        <a:xfrm>
                          <a:off x="9146" y="16066"/>
                          <a:ext cx="4097" cy="400"/>
                        </a:xfrm>
                        <a:prstGeom prst="rect">
                          <a:avLst/>
                        </a:prstGeom>
                        <a:noFill/>
                        <a:ln w="6350">
                          <a:noFill/>
                        </a:ln>
                      </wps:spPr>
                      <wps:txbx>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26" name="图片 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20" y="16181"/>
                          <a:ext cx="6629" cy="124"/>
                        </a:xfrm>
                        <a:prstGeom prst="rect">
                          <a:avLst/>
                        </a:prstGeom>
                      </pic:spPr>
                    </pic:pic>
                  </wpg:wgp>
                </a:graphicData>
              </a:graphic>
            </wp:anchor>
          </w:drawing>
        </mc:Choice>
        <mc:Fallback>
          <w:pict>
            <v:group w14:anchorId="0534CDA4" id="组合 6" o:spid="_x0000_s1028" style="position:absolute;margin-left:-1.9pt;margin-top:8.4pt;width:451.55pt;height:20pt;z-index:251659264" coordorigin="4120,16066" coordsize="912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">
              <v:shapetype id="_x0000_t202" coordsize="21600,21600" o:spt="202" path="m,l,21600r21600,l21600,xe">
                <v:stroke joinstyle="miter"/>
                <v:path gradientshapeok="t" o:connecttype="rect"/>
              </v:shapetype>
              <v:shape id="文本框 17" o:spid="_x0000_s1029" type="#_x0000_t202" style="position:absolute;left:9146;top:16066;width:409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6" o:spid="_x0000_s1030" type="#_x0000_t75" style="position:absolute;left:4120;top:16181;width:66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964E5" w14:textId="77777777" w:rsidR="00CF6E53" w:rsidRDefault="00CF6E53">
      <w:pPr>
        <w:spacing w:after="0"/>
        <w:rPr>
          <w:rFonts w:hint="eastAsia"/>
        </w:rPr>
      </w:pPr>
      <w:r>
        <w:separator/>
      </w:r>
    </w:p>
  </w:footnote>
  <w:footnote w:type="continuationSeparator" w:id="0">
    <w:p w14:paraId="5DA85F8F" w14:textId="77777777" w:rsidR="00CF6E53" w:rsidRDefault="00CF6E53">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FEF8" w14:textId="604554B3" w:rsidR="00D918BC" w:rsidRDefault="00AF751E">
    <w:pPr>
      <w:jc w:val="right"/>
      <w:rPr>
        <w:rFonts w:hint="eastAsia"/>
      </w:rPr>
    </w:pPr>
    <w:r>
      <w:rPr>
        <w:rFonts w:ascii="微软雅黑" w:eastAsia="微软雅黑" w:hAnsi="微软雅黑"/>
        <w:noProof/>
        <w:color w:val="888889"/>
        <w:sz w:val="15"/>
        <w:szCs w:val="15"/>
      </w:rPr>
      <mc:AlternateContent>
        <mc:Choice Requires="wps">
          <w:drawing>
            <wp:anchor distT="0" distB="0" distL="114300" distR="114300" simplePos="0" relativeHeight="251665408" behindDoc="0" locked="0" layoutInCell="1" allowOverlap="1" wp14:anchorId="5ECF4F96" wp14:editId="45009A53">
              <wp:simplePos x="0" y="0"/>
              <wp:positionH relativeFrom="margin">
                <wp:align>right</wp:align>
              </wp:positionH>
              <wp:positionV relativeFrom="paragraph">
                <wp:posOffset>5628</wp:posOffset>
              </wp:positionV>
              <wp:extent cx="1280795" cy="556054"/>
              <wp:effectExtent l="0" t="0" r="14605" b="0"/>
              <wp:wrapNone/>
              <wp:docPr id="2" name="文本框 2"/>
              <wp:cNvGraphicFramePr/>
              <a:graphic xmlns:a="http://schemas.openxmlformats.org/drawingml/2006/main">
                <a:graphicData uri="http://schemas.microsoft.com/office/word/2010/wordprocessingShape">
                  <wps:wsp>
                    <wps:cNvSpPr txBox="1"/>
                    <wps:spPr>
                      <a:xfrm>
                        <a:off x="0" y="0"/>
                        <a:ext cx="1280795" cy="556054"/>
                      </a:xfrm>
                      <a:prstGeom prst="rect">
                        <a:avLst/>
                      </a:prstGeom>
                      <a:noFill/>
                      <a:ln w="6350">
                        <a:noFill/>
                      </a:ln>
                    </wps:spPr>
                    <wps:txbx>
                      <w:txbxContent>
                        <w:p w14:paraId="703F1FD7" w14:textId="77777777" w:rsidR="00AF751E" w:rsidRDefault="00AF751E" w:rsidP="00AF751E">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40B580DA" w14:textId="77777777" w:rsidR="00AF751E" w:rsidRPr="00040724" w:rsidRDefault="00AF751E" w:rsidP="00AF751E">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0E1D0DE1" w14:textId="77777777" w:rsidR="00AF751E" w:rsidRDefault="00AF751E" w:rsidP="00AF751E">
                          <w:pPr>
                            <w:jc w:val="right"/>
                            <w:rPr>
                              <w:rFonts w:ascii="微软雅黑" w:eastAsia="微软雅黑" w:hAnsi="微软雅黑" w:hint="eastAsia"/>
                              <w:color w:val="888889"/>
                              <w:sz w:val="14"/>
                              <w:szCs w:val="14"/>
                            </w:rPr>
                          </w:pPr>
                        </w:p>
                        <w:p w14:paraId="0BAA2CAF" w14:textId="77777777" w:rsidR="00AF751E" w:rsidRDefault="00AF751E" w:rsidP="00AF751E">
                          <w:pPr>
                            <w:jc w:val="right"/>
                            <w:rPr>
                              <w:rFonts w:ascii="微软雅黑" w:eastAsia="微软雅黑" w:hAnsi="微软雅黑" w:hint="eastAsia"/>
                              <w:color w:val="888889"/>
                              <w:sz w:val="14"/>
                              <w:szCs w:val="14"/>
                            </w:rPr>
                          </w:pPr>
                        </w:p>
                        <w:p w14:paraId="1A80F50B" w14:textId="77777777" w:rsidR="00AF751E" w:rsidRPr="00040724" w:rsidRDefault="00AF751E" w:rsidP="00AF751E">
                          <w:pPr>
                            <w:jc w:val="right"/>
                            <w:rPr>
                              <w:rFonts w:hint="eastAsia"/>
                              <w:sz w:val="14"/>
                              <w:szCs w:val="14"/>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ECF4F96" id="_x0000_t202" coordsize="21600,21600" o:spt="202" path="m,l,21600r21600,l21600,xe">
              <v:stroke joinstyle="miter"/>
              <v:path gradientshapeok="t" o:connecttype="rect"/>
            </v:shapetype>
            <v:shape id="文本框 2" o:spid="_x0000_s1026" type="#_x0000_t202" style="position:absolute;left:0;text-align:left;margin-left:49.65pt;margin-top:.45pt;width:100.85pt;height:43.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" filled="f" stroked="f" strokeweight=".5pt">
              <v:textbox inset="0,0,0,0">
                <w:txbxContent>
                  <w:p w14:paraId="703F1FD7" w14:textId="77777777" w:rsidR="00AF751E" w:rsidRDefault="00AF751E" w:rsidP="00AF751E">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40B580DA" w14:textId="77777777" w:rsidR="00AF751E" w:rsidRPr="00040724" w:rsidRDefault="00AF751E" w:rsidP="00AF751E">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0E1D0DE1" w14:textId="77777777" w:rsidR="00AF751E" w:rsidRDefault="00AF751E" w:rsidP="00AF751E">
                    <w:pPr>
                      <w:jc w:val="right"/>
                      <w:rPr>
                        <w:rFonts w:ascii="微软雅黑" w:eastAsia="微软雅黑" w:hAnsi="微软雅黑" w:hint="eastAsia"/>
                        <w:color w:val="888889"/>
                        <w:sz w:val="14"/>
                        <w:szCs w:val="14"/>
                      </w:rPr>
                    </w:pPr>
                  </w:p>
                  <w:p w14:paraId="0BAA2CAF" w14:textId="77777777" w:rsidR="00AF751E" w:rsidRDefault="00AF751E" w:rsidP="00AF751E">
                    <w:pPr>
                      <w:jc w:val="right"/>
                      <w:rPr>
                        <w:rFonts w:ascii="微软雅黑" w:eastAsia="微软雅黑" w:hAnsi="微软雅黑" w:hint="eastAsia"/>
                        <w:color w:val="888889"/>
                        <w:sz w:val="14"/>
                        <w:szCs w:val="14"/>
                      </w:rPr>
                    </w:pPr>
                  </w:p>
                  <w:p w14:paraId="1A80F50B" w14:textId="77777777" w:rsidR="00AF751E" w:rsidRPr="00040724" w:rsidRDefault="00AF751E" w:rsidP="00AF751E">
                    <w:pPr>
                      <w:jc w:val="right"/>
                      <w:rPr>
                        <w:rFonts w:hint="eastAsia"/>
                        <w:sz w:val="14"/>
                        <w:szCs w:val="14"/>
                      </w:rPr>
                    </w:pPr>
                  </w:p>
                </w:txbxContent>
              </v:textbox>
              <w10:wrap anchorx="margin"/>
            </v:shape>
          </w:pict>
        </mc:Fallback>
      </mc:AlternateContent>
    </w:r>
    <w:r w:rsidR="003B5236">
      <w:rPr>
        <w:rFonts w:ascii="微软雅黑" w:eastAsia="微软雅黑" w:hAnsi="微软雅黑"/>
        <w:noProof/>
        <w:sz w:val="13"/>
        <w:szCs w:val="13"/>
      </w:rPr>
      <w:drawing>
        <wp:anchor distT="0" distB="0" distL="114300" distR="114300" simplePos="0" relativeHeight="251661312" behindDoc="1" locked="0" layoutInCell="1" allowOverlap="1" wp14:anchorId="54E944D5" wp14:editId="66591E9B">
          <wp:simplePos x="0" y="0"/>
          <wp:positionH relativeFrom="column">
            <wp:posOffset>21590</wp:posOffset>
          </wp:positionH>
          <wp:positionV relativeFrom="paragraph">
            <wp:posOffset>63500</wp:posOffset>
          </wp:positionV>
          <wp:extent cx="1386205" cy="241300"/>
          <wp:effectExtent l="0" t="0" r="0" b="63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6000" cy="241200"/>
                  </a:xfrm>
                  <a:prstGeom prst="rect">
                    <a:avLst/>
                  </a:prstGeom>
                </pic:spPr>
              </pic:pic>
            </a:graphicData>
          </a:graphic>
        </wp:anchor>
      </w:drawing>
    </w:r>
    <w:r w:rsidR="003B5236">
      <w:rPr>
        <w:rFonts w:ascii="微软雅黑" w:eastAsia="微软雅黑" w:hAnsi="微软雅黑"/>
        <w:noProof/>
        <w:color w:val="888889"/>
        <w:sz w:val="15"/>
        <w:szCs w:val="15"/>
      </w:rPr>
      <mc:AlternateContent>
        <mc:Choice Requires="wps">
          <w:drawing>
            <wp:anchor distT="0" distB="0" distL="114300" distR="114300" simplePos="0" relativeHeight="251663360" behindDoc="0" locked="0" layoutInCell="1" allowOverlap="1" wp14:anchorId="74BA1EE9" wp14:editId="79752F91">
              <wp:simplePos x="0" y="0"/>
              <wp:positionH relativeFrom="column">
                <wp:posOffset>-105410</wp:posOffset>
              </wp:positionH>
              <wp:positionV relativeFrom="paragraph">
                <wp:posOffset>372745</wp:posOffset>
              </wp:positionV>
              <wp:extent cx="5869305" cy="5715"/>
              <wp:effectExtent l="0" t="0" r="0" b="0"/>
              <wp:wrapNone/>
              <wp:docPr id="12" name="直线连接符 12"/>
              <wp:cNvGraphicFramePr/>
              <a:graphic xmlns:a="http://schemas.openxmlformats.org/drawingml/2006/main">
                <a:graphicData uri="http://schemas.microsoft.com/office/word/2010/wordprocessingShape">
                  <wps:wsp>
                    <wps:cNvCnPr/>
                    <wps:spPr>
                      <a:xfrm>
                        <a:off x="0" y="0"/>
                        <a:ext cx="5869305" cy="5715"/>
                      </a:xfrm>
                      <a:prstGeom prst="line">
                        <a:avLst/>
                      </a:prstGeom>
                      <a:ln w="7620">
                        <a:gradFill flip="none" rotWithShape="1">
                          <a:gsLst>
                            <a:gs pos="95000">
                              <a:srgbClr val="353D68"/>
                            </a:gs>
                            <a:gs pos="41000">
                              <a:srgbClr val="3E6591"/>
                            </a:gs>
                            <a:gs pos="66002">
                              <a:srgbClr val="4B4887"/>
                            </a:gs>
                            <a:gs pos="17000">
                              <a:srgbClr val="46A58B"/>
                            </a:gs>
                          </a:gsLst>
                          <a:lin ang="162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8C12DB" id="直线连接符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3pt,29.35pt" to="453.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" strokeweight=".6pt">
              <v:stroke joinstyle="miter"/>
            </v:line>
          </w:pict>
        </mc:Fallback>
      </mc:AlternateContent>
    </w:r>
    <w:r w:rsidR="003B5236">
      <w:rPr>
        <w:rFonts w:hint="eastAsia"/>
      </w:rPr>
      <w:t xml:space="preserve"> </w:t>
    </w:r>
    <w:r w:rsidR="003B52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B66"/>
    <w:multiLevelType w:val="hybridMultilevel"/>
    <w:tmpl w:val="995CF81A"/>
    <w:lvl w:ilvl="0" w:tplc="AF98EE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4E264FC"/>
    <w:multiLevelType w:val="hybridMultilevel"/>
    <w:tmpl w:val="020E45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209B0B04"/>
    <w:multiLevelType w:val="multilevel"/>
    <w:tmpl w:val="AA8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21AB6"/>
    <w:multiLevelType w:val="multilevel"/>
    <w:tmpl w:val="F0E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401BC"/>
    <w:multiLevelType w:val="multilevel"/>
    <w:tmpl w:val="809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A01CF9"/>
    <w:multiLevelType w:val="hybridMultilevel"/>
    <w:tmpl w:val="64EE6AE8"/>
    <w:lvl w:ilvl="0" w:tplc="26A4AF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6" w15:restartNumberingAfterBreak="0">
    <w:nsid w:val="7194198D"/>
    <w:multiLevelType w:val="hybridMultilevel"/>
    <w:tmpl w:val="870C52D0"/>
    <w:lvl w:ilvl="0" w:tplc="3D8ECD7E">
      <w:start w:val="1"/>
      <w:numFmt w:val="bullet"/>
      <w:lvlText w:val=""/>
      <w:lvlJc w:val="left"/>
      <w:pPr>
        <w:ind w:left="440" w:hanging="440"/>
      </w:pPr>
      <w:rPr>
        <w:rFonts w:ascii="Symbol" w:hAnsi="Symbol" w:hint="default"/>
        <w:sz w:val="21"/>
        <w:szCs w:val="21"/>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355548437">
    <w:abstractNumId w:val="1"/>
  </w:num>
  <w:num w:numId="2" w16cid:durableId="1058020388">
    <w:abstractNumId w:val="0"/>
  </w:num>
  <w:num w:numId="3" w16cid:durableId="857112342">
    <w:abstractNumId w:val="4"/>
  </w:num>
  <w:num w:numId="4" w16cid:durableId="489757621">
    <w:abstractNumId w:val="2"/>
  </w:num>
  <w:num w:numId="5" w16cid:durableId="1359232725">
    <w:abstractNumId w:val="3"/>
  </w:num>
  <w:num w:numId="6" w16cid:durableId="886918702">
    <w:abstractNumId w:val="6"/>
  </w:num>
  <w:num w:numId="7" w16cid:durableId="871843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44"/>
    <w:rsid w:val="0000597D"/>
    <w:rsid w:val="00023886"/>
    <w:rsid w:val="000B286E"/>
    <w:rsid w:val="000B6B16"/>
    <w:rsid w:val="000F1D87"/>
    <w:rsid w:val="00177DAE"/>
    <w:rsid w:val="0020006D"/>
    <w:rsid w:val="00226636"/>
    <w:rsid w:val="002A07B0"/>
    <w:rsid w:val="002A4E7E"/>
    <w:rsid w:val="002E1D39"/>
    <w:rsid w:val="002F6F85"/>
    <w:rsid w:val="0033579E"/>
    <w:rsid w:val="003B2801"/>
    <w:rsid w:val="003B5236"/>
    <w:rsid w:val="00422FA9"/>
    <w:rsid w:val="004D550E"/>
    <w:rsid w:val="005A5B86"/>
    <w:rsid w:val="00740744"/>
    <w:rsid w:val="00793DBA"/>
    <w:rsid w:val="007B2B87"/>
    <w:rsid w:val="007B630A"/>
    <w:rsid w:val="008178F6"/>
    <w:rsid w:val="0084398B"/>
    <w:rsid w:val="008443D6"/>
    <w:rsid w:val="0086365E"/>
    <w:rsid w:val="008920D2"/>
    <w:rsid w:val="00897E0C"/>
    <w:rsid w:val="009C1AC9"/>
    <w:rsid w:val="009C3DAB"/>
    <w:rsid w:val="009E1696"/>
    <w:rsid w:val="009F7C50"/>
    <w:rsid w:val="00A11C20"/>
    <w:rsid w:val="00A53E62"/>
    <w:rsid w:val="00AF751E"/>
    <w:rsid w:val="00B42E8B"/>
    <w:rsid w:val="00B869EF"/>
    <w:rsid w:val="00B94CAC"/>
    <w:rsid w:val="00BF1BEA"/>
    <w:rsid w:val="00CB5755"/>
    <w:rsid w:val="00CE042E"/>
    <w:rsid w:val="00CE43B2"/>
    <w:rsid w:val="00CF6E53"/>
    <w:rsid w:val="00D56A29"/>
    <w:rsid w:val="00D918BC"/>
    <w:rsid w:val="00D92365"/>
    <w:rsid w:val="00DA7586"/>
    <w:rsid w:val="00DF2BAC"/>
    <w:rsid w:val="00E301FF"/>
    <w:rsid w:val="00E4006B"/>
    <w:rsid w:val="00E529B6"/>
    <w:rsid w:val="00EA2CC3"/>
    <w:rsid w:val="00EF70B1"/>
    <w:rsid w:val="00F501DB"/>
    <w:rsid w:val="00F81425"/>
    <w:rsid w:val="00FE2B16"/>
    <w:rsid w:val="071E2D3E"/>
    <w:rsid w:val="07754928"/>
    <w:rsid w:val="10667503"/>
    <w:rsid w:val="180C6BE2"/>
    <w:rsid w:val="1AB23A71"/>
    <w:rsid w:val="1BF105C9"/>
    <w:rsid w:val="23900846"/>
    <w:rsid w:val="26F15921"/>
    <w:rsid w:val="27A110F5"/>
    <w:rsid w:val="39387BAF"/>
    <w:rsid w:val="3B787F67"/>
    <w:rsid w:val="43364990"/>
    <w:rsid w:val="44953938"/>
    <w:rsid w:val="4AFA2747"/>
    <w:rsid w:val="51FC4FF6"/>
    <w:rsid w:val="52666914"/>
    <w:rsid w:val="54104D89"/>
    <w:rsid w:val="5A955FE8"/>
    <w:rsid w:val="5F4955F3"/>
    <w:rsid w:val="62522A10"/>
    <w:rsid w:val="64DE67DD"/>
    <w:rsid w:val="65AE4402"/>
    <w:rsid w:val="6F0D763F"/>
    <w:rsid w:val="70950698"/>
    <w:rsid w:val="727468EE"/>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B52E"/>
  <w15:docId w15:val="{073E4AF0-2EE1-4F99-B574-A10B82C8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9">
    <w:name w:val="heading 9"/>
    <w:basedOn w:val="a"/>
    <w:next w:val="a"/>
    <w:link w:val="90"/>
    <w:uiPriority w:val="9"/>
    <w:semiHidden/>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Theme="minorEastAsia" w:hAnsi="Courier New" w:cs="Courier New"/>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b/>
      <w:bCs/>
      <w:kern w:val="28"/>
      <w:sz w:val="32"/>
      <w:szCs w:val="32"/>
    </w:rPr>
  </w:style>
  <w:style w:type="character" w:styleId="ab">
    <w:name w:val="page number"/>
    <w:basedOn w:val="a0"/>
    <w:uiPriority w:val="99"/>
    <w:semiHidden/>
    <w:unhideWhenUsed/>
  </w:style>
  <w:style w:type="character" w:customStyle="1" w:styleId="3">
    <w:name w:val="标题3"/>
    <w:basedOn w:val="a0"/>
    <w:uiPriority w:val="1"/>
    <w:qFormat/>
    <w:rPr>
      <w:rFonts w:ascii="微软雅黑" w:eastAsia="微软雅黑" w:hAnsi="微软雅黑"/>
      <w:b/>
      <w:color w:val="005AAF"/>
      <w:sz w:val="24"/>
      <w:szCs w:val="17"/>
    </w:rPr>
  </w:style>
  <w:style w:type="paragraph" w:customStyle="1" w:styleId="1">
    <w:name w:val="样式1"/>
    <w:basedOn w:val="a"/>
    <w:qFormat/>
    <w:pPr>
      <w:widowControl/>
      <w:spacing w:line="720" w:lineRule="auto"/>
      <w:ind w:leftChars="-5" w:left="-9" w:hanging="1"/>
      <w:jc w:val="left"/>
    </w:pPr>
    <w:rPr>
      <w:rFonts w:ascii="微软雅黑" w:eastAsia="微软雅黑" w:hAnsi="微软雅黑"/>
      <w:b/>
      <w:bCs/>
      <w:color w:val="005AAF"/>
      <w:sz w:val="28"/>
      <w:szCs w:val="28"/>
    </w:rPr>
  </w:style>
  <w:style w:type="character" w:customStyle="1" w:styleId="90">
    <w:name w:val="标题 9 字符"/>
    <w:basedOn w:val="a0"/>
    <w:link w:val="9"/>
    <w:uiPriority w:val="9"/>
    <w:semiHidden/>
    <w:qFormat/>
    <w:rPr>
      <w:rFonts w:asciiTheme="majorHAnsi" w:eastAsiaTheme="majorEastAsia" w:hAnsiTheme="majorHAnsi" w:cstheme="majorBidi"/>
      <w:szCs w:val="21"/>
    </w:rPr>
  </w:style>
  <w:style w:type="paragraph" w:customStyle="1" w:styleId="ac">
    <w:name w:val="图表标题"/>
    <w:basedOn w:val="a9"/>
    <w:qFormat/>
    <w:pPr>
      <w:spacing w:before="0" w:after="0"/>
    </w:pPr>
    <w:rPr>
      <w:rFonts w:eastAsia="微软雅黑"/>
      <w:b w:val="0"/>
      <w:color w:val="005AAF"/>
      <w:sz w:val="17"/>
    </w:rPr>
  </w:style>
  <w:style w:type="character" w:customStyle="1" w:styleId="aa">
    <w:name w:val="副标题 字符"/>
    <w:basedOn w:val="a0"/>
    <w:link w:val="a9"/>
    <w:uiPriority w:val="11"/>
    <w:qFormat/>
    <w:rPr>
      <w:b/>
      <w:bCs/>
      <w:kern w:val="28"/>
      <w:sz w:val="32"/>
      <w:szCs w:val="32"/>
    </w:rPr>
  </w:style>
  <w:style w:type="paragraph" w:customStyle="1" w:styleId="ad">
    <w:name w:val="正文内容"/>
    <w:basedOn w:val="a"/>
    <w:next w:val="a3"/>
    <w:qFormat/>
    <w:pPr>
      <w:widowControl/>
      <w:spacing w:beforeLines="25" w:before="78" w:afterLines="25" w:after="78"/>
      <w:ind w:leftChars="-6" w:left="-12" w:hanging="1"/>
      <w:jc w:val="left"/>
    </w:pPr>
    <w:rPr>
      <w:rFonts w:ascii="微软雅黑" w:eastAsia="微软雅黑" w:hAnsi="微软雅黑"/>
      <w:bCs/>
      <w:color w:val="0D0D0D" w:themeColor="text1" w:themeTint="F2"/>
      <w:sz w:val="18"/>
    </w:rPr>
  </w:style>
  <w:style w:type="character" w:customStyle="1" w:styleId="a4">
    <w:name w:val="纯文本 字符"/>
    <w:basedOn w:val="a0"/>
    <w:link w:val="a3"/>
    <w:uiPriority w:val="99"/>
    <w:semiHidden/>
    <w:qFormat/>
    <w:rPr>
      <w:rFonts w:asciiTheme="minorEastAsia" w:hAnsi="Courier New" w:cs="Courier New"/>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e">
    <w:name w:val="List Paragraph"/>
    <w:basedOn w:val="a"/>
    <w:uiPriority w:val="34"/>
    <w:qFormat/>
    <w:pPr>
      <w:ind w:firstLineChars="200" w:firstLine="420"/>
    </w:p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7E77D41-5332-774B-83BB-7B70638FB9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492</Words>
  <Characters>3017</Characters>
  <Application>Microsoft Office Word</Application>
  <DocSecurity>0</DocSecurity>
  <Lines>63</Lines>
  <Paragraphs>37</Paragraphs>
  <ScaleCrop>false</ScaleCrop>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Xinran Zheng</cp:lastModifiedBy>
  <cp:revision>19</cp:revision>
  <dcterms:created xsi:type="dcterms:W3CDTF">2025-01-08T06:44:00Z</dcterms:created>
  <dcterms:modified xsi:type="dcterms:W3CDTF">2026-03-20T05:26:00Z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eyJoZGlkIjoiZTQwNDRjMmY0YjM0M2NiZWM2MzU0ZTFlMzdjMzJkZGMiLCJ1c2VySWQiOiI3NzQ3OTM1MzUifQ==</vt:lpwstr>
  </property>
  <property fmtid="{D5CDD505-2E9C-101B-9397-08002B2CF9AE}" pid="3" name="KSOProductBuildVer">
    <vt:lpwstr>2052-12.1.0.19770</vt:lpwstr>
  </property>
  <property fmtid="{D5CDD505-2E9C-101B-9397-08002B2CF9AE}" pid="4" name="ICV">
    <vt:lpwstr>D12BD482C93B4ABABB10AE01A611CE80_12</vt:lpwstr>
  </property>
</Properties>
</file>